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B4" w:rsidRDefault="008B7C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7CB4" w:rsidRDefault="008B7CB4">
      <w:pPr>
        <w:pStyle w:val="ConsPlusNormal"/>
        <w:jc w:val="both"/>
        <w:outlineLvl w:val="0"/>
      </w:pPr>
    </w:p>
    <w:p w:rsidR="008B7CB4" w:rsidRDefault="008B7CB4">
      <w:pPr>
        <w:pStyle w:val="ConsPlusNormal"/>
        <w:outlineLvl w:val="0"/>
      </w:pPr>
      <w:r>
        <w:t>Зарегистрировано в Минюсте России 25 декабря 2015 г. N 40290</w:t>
      </w:r>
    </w:p>
    <w:p w:rsidR="008B7CB4" w:rsidRDefault="008B7C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B7CB4" w:rsidRDefault="008B7CB4">
      <w:pPr>
        <w:pStyle w:val="ConsPlusTitle"/>
        <w:jc w:val="center"/>
      </w:pPr>
    </w:p>
    <w:p w:rsidR="008B7CB4" w:rsidRDefault="008B7CB4">
      <w:pPr>
        <w:pStyle w:val="ConsPlusTitle"/>
        <w:jc w:val="center"/>
      </w:pPr>
      <w:r>
        <w:t>ПРИКАЗ</w:t>
      </w:r>
    </w:p>
    <w:p w:rsidR="008B7CB4" w:rsidRDefault="008B7CB4">
      <w:pPr>
        <w:pStyle w:val="ConsPlusTitle"/>
        <w:jc w:val="center"/>
      </w:pPr>
      <w:r>
        <w:t>от 27 ноября 2015 г. N 888</w:t>
      </w:r>
    </w:p>
    <w:p w:rsidR="008B7CB4" w:rsidRDefault="008B7CB4">
      <w:pPr>
        <w:pStyle w:val="ConsPlusTitle"/>
        <w:jc w:val="center"/>
      </w:pPr>
    </w:p>
    <w:p w:rsidR="008B7CB4" w:rsidRDefault="008B7CB4">
      <w:pPr>
        <w:pStyle w:val="ConsPlusTitle"/>
        <w:jc w:val="center"/>
      </w:pPr>
      <w:r>
        <w:t>ОБ УТВЕРЖДЕНИИ ПОРЯДКА</w:t>
      </w:r>
    </w:p>
    <w:p w:rsidR="008B7CB4" w:rsidRDefault="008B7CB4">
      <w:pPr>
        <w:pStyle w:val="ConsPlusTitle"/>
        <w:jc w:val="center"/>
      </w:pPr>
      <w:r>
        <w:t>МОНИТОРИНГА РЕАЛИЗАЦИИ СОГЛАШЕНИЙ О ГОСУДАРСТВЕННО-ЧАСТНОМ</w:t>
      </w:r>
    </w:p>
    <w:p w:rsidR="008B7CB4" w:rsidRDefault="008B7CB4">
      <w:pPr>
        <w:pStyle w:val="ConsPlusTitle"/>
        <w:jc w:val="center"/>
      </w:pPr>
      <w:r>
        <w:t>ПАРТНЕРСТВЕ, СОГЛАШЕНИЙ О МУНИЦИПАЛЬНО-ЧАСТНОМ ПАРТНЕРСТВЕ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части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right"/>
      </w:pPr>
      <w:r>
        <w:t>Врио Министра</w:t>
      </w:r>
    </w:p>
    <w:p w:rsidR="008B7CB4" w:rsidRDefault="008B7CB4">
      <w:pPr>
        <w:pStyle w:val="ConsPlusNormal"/>
        <w:jc w:val="right"/>
      </w:pPr>
      <w:r>
        <w:t>Е.И.ЕЛИН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right"/>
        <w:outlineLvl w:val="0"/>
      </w:pPr>
      <w:r>
        <w:t>Утвержден</w:t>
      </w:r>
    </w:p>
    <w:p w:rsidR="008B7CB4" w:rsidRDefault="008B7CB4">
      <w:pPr>
        <w:pStyle w:val="ConsPlusNormal"/>
        <w:jc w:val="right"/>
      </w:pPr>
      <w:r>
        <w:t>приказом Минэкономразвития России</w:t>
      </w:r>
    </w:p>
    <w:p w:rsidR="008B7CB4" w:rsidRDefault="008B7CB4">
      <w:pPr>
        <w:pStyle w:val="ConsPlusNormal"/>
        <w:jc w:val="right"/>
      </w:pPr>
      <w:r>
        <w:t>от 27.11.2015 N 888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Title"/>
        <w:jc w:val="center"/>
      </w:pPr>
      <w:bookmarkStart w:id="0" w:name="P28"/>
      <w:bookmarkEnd w:id="0"/>
      <w:r>
        <w:t>ПОРЯДОК</w:t>
      </w:r>
    </w:p>
    <w:p w:rsidR="008B7CB4" w:rsidRDefault="008B7CB4">
      <w:pPr>
        <w:pStyle w:val="ConsPlusTitle"/>
        <w:jc w:val="center"/>
      </w:pPr>
      <w:r>
        <w:t>МОНИТОРИНГА РЕАЛИЗАЦИИ СОГЛАШЕНИЙ О ГОСУДАРСТВЕННО-ЧАСТНОМ</w:t>
      </w:r>
    </w:p>
    <w:p w:rsidR="008B7CB4" w:rsidRDefault="008B7CB4">
      <w:pPr>
        <w:pStyle w:val="ConsPlusTitle"/>
        <w:jc w:val="center"/>
      </w:pPr>
      <w:r>
        <w:t>ПАРТНЕРСТВЕ, СОГЛАШЕНИЙ О МУНИЦИПАЛЬНО-ЧАСТНОМ ПАРТНЕРСТВЕ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ind w:firstLine="540"/>
        <w:jc w:val="both"/>
      </w:pPr>
      <w:r>
        <w:t>1. Настоящий порядок определяет правила осуществления мониторинга реализации соглашений о государственно-частном партнерстве, соглашений о муниципально-частном партнерстве (далее соответственно - Порядок, соглашения, мониторинг).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2. Мониторинг осуществляется в целях: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обеспечения открытости и доступности информации о государственно-частном партнерстве, муниципально-частном партнерстве;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совершенствования законодательства Российской Федерации о государственно-частном партнерстве, муниципально-частном партнерстве.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3. Мониторинг соглашений, в которых публичным партнером является Российская Федерация, в том числе соглашений, заключенных по результатам проведения совместного конкурса с участием Российской Федерации, проводится Минэкономразвития России.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lastRenderedPageBreak/>
        <w:t>4. Мониторинг соглашений, в которых публичным партнером является субъект Российской Федерации, в том числе соглашений, заключенных по результатам проведения совместного конкурса с участием субъекта Российской Федерации (за исключением проведения совместного конкурса с участием Российской Федерации), проводится уполномоченным органом исполнительной власти субъекта Российской Федерации (далее - уполномоченный орган субъекта Российской Федерации).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5. Мониторинг соглашений, в которых публичным партнером является муниципальное образование, проводится уполномоченным в соответствии с уставом муниципального образования органом местного самоуправления.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 xml:space="preserve">6. Мониторинг проводится ежегодно с даты принятия решения о реализации проекта государственно-частного партнерства, проекта муниципально-частного партнерства в соответствии с </w:t>
      </w:r>
      <w:hyperlink r:id="rId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посредством сбора, проверки, анализа, обобщения, систематизации и учета предоставленных публичными партнерами сведений о планируемых, реализуемых и реализованных на территории Российской Федерации соглашениях (далее соответственно - решение о реализации проекта, проект, Федеральный закон, сведения).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 В целях обеспечения проведения мониторинга публичный партнер в течение десяти рабочих дней после принятия решения о реализации проекта размещает в электронном виде посредством государственной автоматизированной информационной системы "Управление" следующие сведения: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 Описание и обоснование актуальности проекта, в том числе: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7.1.1. Наименование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7.1.2. Публично-правовое образование, являющееся публичным партнером (Российская Федерация или субъект Российской Федерации или муниципальное образование).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7.1.3. Наименование и место нахождения публичного партнера по проекту.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7.1.4. Наименование, место нахождения лица, обеспечившего разработку предложения о реализации проекта (если проект был инициирован частным партнером).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7.1.5. Сфера (сферы) реализации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7.1.6. Отрасль (отрасли) реализации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7.1.7. Обоснование актуальности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7.1.8. Краткое описание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7.1.9. Информация о наличии или отсутствии необязательных элементов соглашения: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осуществление проектирования объекта (объектов) соглашения (далее - объект) частным партнером;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осуществление частным партнером полного или частичного финансирования эксплуатации и (или) технического обслуживания объекта;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обеспечение публичным партнером частичного финансирования создания объекта, а также финансирование его эксплуатации и (или) технического обслуживания;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lastRenderedPageBreak/>
        <w:t>обязательство по передаче частным партнером объекта в собственность публичного партнера по истечении определенного соглашением срока (не позднее дня прекращения соглашения).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7.1.10. Субъект (субъекты) Российской Федерации, на территории которого (которых) планируется реализация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7.1.11. Муниципальное образование (муниципальные образования), на территории которого (которых) планируется реализация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7.2. Цели и задачи реализации проекта, а также социально-экономический эффект от реализации проекта: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цели и (или) задачи, предусмотренные государственными (муниципальными) программами;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цели и задачи реализации проекта согласно предложению о реализации проекта;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целевые показатели государственных (муниципальных) программам, достижению которых будет способствовать реализация проекта;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вклад проекта в достижение целевых показателей государственных (муниципальных) программам.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7.3. Срок реализации проекта или порядок определения такого срока: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сроки проведения конкурса на право заключения соглашения (в случае проведения совместного конкурса - соглашений);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сроки заключения соглашения (в случае проведения совместного конкурса - соглашений);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общий срок реализации соглашения или порядок определения такого срока (в случае проведения совместного конкурса - соглашений);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 проектирования частным партнером объекта или порядок определения такого срока (если предусматривается); срок создания объекта;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 эксплуатации и (или) технического обслуживания объекта частным партнером или порядок определения такого срока;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 или порядок определения срока возникновения права собственности на объект у частного партнера;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иные установленные сроки по проекту в соответствии с решением о реализации проекта и (или) соглашением.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7.4. Сведения об объекте: количество объектов; вид объекта;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адрес (место нахождения) объекта;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информация о наличии проектной документации или задания на проектирование (с приложением соответствующих документов);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наименование собственника проектной документации на объект (при наличии);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информация о юридическом лице, осуществлявшем разработку проектной документации на объект или задания на проектирование.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 xml:space="preserve">7.5. Перечень недвижимого имущества, которое планируется создать, включая объекты движимого имущества, технологически связанные с объектами недвижимого имущества (с </w:t>
      </w:r>
      <w:r>
        <w:lastRenderedPageBreak/>
        <w:t>указанием технико-экономических характеристик).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7.6. Сведения о финансово-экономических показателях проекта: общая прогнозируемая стоимость создания объекта;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прогнозируемый объем финансирования создания объекта - по годам; прогнозируемый объем финансирования эксплуатации и (или) технического обслуживания объекта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прогнозируемый объем финансирования за счет средств бюджетов бюджетной системы Российской Федерации создания объекта (если предусматривается)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прогнозируемый объем финансирования за счет средств бюджетов бюджетной системы Российской Федерации эксплуатации и (или) технического обслуживания объекта (если предусматривается)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необходимый объем финансирования проекта за счет собственных средств частного партнера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необходимый объем заемного финансирования по проекту (если предусматривается)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планируемый срок погашения заемного финансирования по проекту (если предусматривается);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планируемый объем производства товаров, выполнения работ, оказания услуг по проекту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планируемая себестоимость производства товаров, выполнения работ, оказания услуг по проекту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планируемой выручки частного партнера при реализации проекта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планируемые налоговые доходы бюджетов бюджетной системы Российской Федерации при реализации проекта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планируемые неналоговые доходы бюджетов бюджетной системы Российской Федерации при реализации проекта - по годам; чистая приведенная стоимость по проекту;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сведения о сравнительном преимуществе проекта с указанием информации о рисках (с приложением расчета);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расходов, понесенных инициатором проекта на подготовку предложения (если проект был инициирован частным партнером).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8. Публичный партнер в течение десяти рабочих дней с даты заключения соглашения размещает в электронном виде посредством государственной автоматизированной информационной системы "Управление" следующие сведения: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 фактических сроках проведения конкурса на право заключения соглашения и дате заключения соглашения;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 участниках конкурса на право заключения соглашения (наименование, место нахождения);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 победителе конкурса на право заключения соглашения - частном партнере, его конкурсном предложении и юридических лицах, которые выступают на стороне частного партнера (наименование, место нахождения и адрес).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lastRenderedPageBreak/>
        <w:t>9. 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каждые шесть месяцев размещает в электронном виде посредством государственной автоматизированной информационной системы "Управление"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органа. При этом информация обо всех юридически значимых действиях в отношении соглашения, в том числе заключение, внесение изменений и расторжение соглашения, государственная регистрация прав на владение и пользование объектом, подписание актов о приеме-передаче объекта, передача земельных участков, приемка выполненных работ по строительству (реконструкции) объекта, ввод объекта в эксплуатацию размещаются публичным партнером в электронном виде посредством государственной автоматизированной информационной системы "Управление" в течение десяти рабочих дней со дня совершения таких действий с приложением копий соответствующих документов.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 xml:space="preserve">10. Размещение сведений, составляющих государственную тайну и иную охраняемую </w:t>
      </w:r>
      <w:hyperlink r:id="rId7" w:history="1">
        <w:r>
          <w:rPr>
            <w:color w:val="0000FF"/>
          </w:rPr>
          <w:t>законом</w:t>
        </w:r>
      </w:hyperlink>
      <w:r>
        <w:t xml:space="preserve"> тайну, осуществляется в порядке, установленном законодательством Российской Федерации.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11. Минэкономразвития России, уполномоченные органы субъекта Российской Федерации, уполномоченные органы местного самоуправления в целях проведения мониторинга обеспечивают текущую проверку в рамках компетенции на достоверность внесенных публичными партнерами в электронном виде посредством государственной автоматизированной информационной системы "Управление" сведений и документов, а также ежегодно формируют результаты мониторинга по состоянию на 1 января года, следующего за отчетным годом. При этом под отчетным годом понимается год, за который публичными партнерами предоставлялись сведения.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12. Уполномоченный орган местного самоуправления ежегодно до 1 февраля года, следующего за отчетным годом, представляет в уполномоченный орган субъекта Российской Федерации, в состав которого входит соответствующее муниципальное образование, результаты мониторинга соглашений о муниципально-частном партнерстве, а также размещает результаты мониторинга на своем официальном сайте (в случае отсутствия такого сайта - на сайте субъекта Российской Федерации, в состав которого входит соответствующее муниципальное образование) в информационно-телекоммуникационной сети "Интернет".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13. Уполномоченный орган субъекта Российской Федерации ежегодно до 15 февраля года, следующего за отчетным годом, представляет в Минэкономразвития России сводные результаты мониторинга соглашений о муниципально-частном партнерстве, а также соглашений о государственно-частном партнерстве, в которых публичным партнером является субъект Российской Федерации (в том числе соглашений, заключенных по результатам проведения совместного конкурса с участием субъекта Российской Федерации за исключением проведения совместного конкурса с участием Российской Федерации), а также размещает результаты мониторинга на своем официальном сайте в информационно-телекоммуникационной сети "Интернет".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14. Минэкономразвития России ежегодно до 15 марта года, следующего за отчетным годом, формирует сводные результаты мониторинга соглашений и размещает их на своем официальном сайте в информационно-телекоммуникационной сети "Интернет".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 xml:space="preserve">15. Результаты мониторинга включают в себя общие сведения, сравнительный анализ соблюдения планируемых и фактических сроков исполнения сторонами обязательств по соглашению, а также планируемых (прогнозируемых) и фактически достигнутых значений критериев эффективности проекта и значений показателей его сравнительного преимущества, на </w:t>
      </w:r>
      <w:r>
        <w:lastRenderedPageBreak/>
        <w:t>основании которых получено положительное заключение уполномоченного органа (далее - сравнительный анализ), сведения из реестра заключенных соглашений, оценку проблем и перспективы дальнейшей реализации заключенных соглашений, а также сведения о разрабатываемых и планируемых к разработке предложениях о реализации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16. Сравнительный анализ производится по следующим показателям: вклад проекта в достижение целевых показателей государственных (муниципальных) программ;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сроки проведения конкурса на право заключения соглашения или - в случае проведения совместного конкурса - соглашений;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 проведения конкурсной процедуры для отбора частного партнера; срок заключения соглашения;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общий срок реализации соглашения (для завершенных соглашений); срок проектирования частным партнером объекта (если предусматривается); срок создания объекта;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сроки эксплуатации и (или) технического обслуживания объекта частным партнером;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 возникновения права собственности на объект у частного партнера;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иные установленные сроки по проекту в соответствии с решением о реализации проекта и (или) соглашением; общая стоимость создания объекта; объем финансирования создания объекта - по годам; объем финансирования эксплуатации и (или) технического обслуживания объекта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финансирования за счет средств бюджетов бюджетной системы Российской Федерации создания объекта (если предусматривается)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финансирования за счет средств бюджетов бюджетной системы Российской Федерации эксплуатации и (или) технического обслуживания объекта (если предусматривается)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финансирования проекта за счет собственных средств частного партнера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заемного финансирования по проекту (если предусматривается)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срок погашения заемного финансирования по проекту (если предусматривается);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производства товаров, выполнения работ, оказания услуг по проекту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себестоимость производства товаров, выполнения работ, оказания услуг по проекту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объем выручки частного партнера при реализации проекта - по годам; налоговые доходы бюджетов бюджетной системы Российской Федерации при реализации проекта - по годам;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неналоговые доходы бюджетов бюджетной системы Российской Федерации при реализации проекта - по годам; чистая приведенная стоимость по проекту;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иные показатели, используемые для расчета и обоснования сравнительного преимущества проекта.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 xml:space="preserve">17. Результаты мониторинга оформляются согласно </w:t>
      </w:r>
      <w:hyperlink w:anchor="P130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 xml:space="preserve">18. Сведения, предоставленные публичными партнерами в целях проведения мониторинга, хранятся в архивах и базах данных государственной автоматизированной информационной </w:t>
      </w:r>
      <w:r>
        <w:lastRenderedPageBreak/>
        <w:t>системы "Управление" в течение срока действия соглашения и не менее пятнадцати лет с момента окончания срока их действия.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right"/>
        <w:outlineLvl w:val="1"/>
      </w:pPr>
      <w:r>
        <w:t>Приложение</w:t>
      </w:r>
    </w:p>
    <w:p w:rsidR="008B7CB4" w:rsidRDefault="008B7CB4">
      <w:pPr>
        <w:pStyle w:val="ConsPlusNormal"/>
        <w:jc w:val="right"/>
      </w:pPr>
      <w:r>
        <w:t>к Порядку, утвержденному</w:t>
      </w:r>
    </w:p>
    <w:p w:rsidR="008B7CB4" w:rsidRDefault="008B7CB4">
      <w:pPr>
        <w:pStyle w:val="ConsPlusNormal"/>
        <w:jc w:val="right"/>
      </w:pPr>
      <w:r>
        <w:t>приказом Минэкономразвития России</w:t>
      </w:r>
    </w:p>
    <w:p w:rsidR="008B7CB4" w:rsidRDefault="008B7CB4">
      <w:pPr>
        <w:pStyle w:val="ConsPlusNormal"/>
        <w:jc w:val="right"/>
      </w:pPr>
      <w:r>
        <w:t>от 27.11.2015 N 888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center"/>
      </w:pPr>
      <w:bookmarkStart w:id="1" w:name="P130"/>
      <w:bookmarkEnd w:id="1"/>
      <w:r>
        <w:t>РЕЗУЛЬТАТЫ МОНИТОРИНГА</w:t>
      </w:r>
    </w:p>
    <w:p w:rsidR="008B7CB4" w:rsidRDefault="008B7CB4">
      <w:pPr>
        <w:pStyle w:val="ConsPlusNormal"/>
        <w:jc w:val="center"/>
      </w:pPr>
      <w:r>
        <w:t>реализации соглашений о государственно-частном партнерстве,</w:t>
      </w:r>
    </w:p>
    <w:p w:rsidR="008B7CB4" w:rsidRDefault="008B7CB4">
      <w:pPr>
        <w:pStyle w:val="ConsPlusNormal"/>
        <w:jc w:val="center"/>
      </w:pPr>
      <w:r>
        <w:t>соглашений о муниципально-частном партнерстве</w:t>
      </w:r>
    </w:p>
    <w:p w:rsidR="008B7CB4" w:rsidRDefault="008B7CB4">
      <w:pPr>
        <w:pStyle w:val="ConsPlusNormal"/>
        <w:jc w:val="center"/>
      </w:pPr>
      <w:r>
        <w:t>за 20__ год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center"/>
        <w:outlineLvl w:val="2"/>
      </w:pPr>
      <w:r>
        <w:t>I. Общие сведения</w:t>
      </w:r>
    </w:p>
    <w:p w:rsidR="008B7CB4" w:rsidRDefault="008B7CB4">
      <w:pPr>
        <w:pStyle w:val="ConsPlusNormal"/>
        <w:jc w:val="both"/>
      </w:pPr>
    </w:p>
    <w:p w:rsidR="008B7CB4" w:rsidRDefault="008B7CB4">
      <w:pPr>
        <w:sectPr w:rsidR="008B7CB4" w:rsidSect="00750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1"/>
        <w:gridCol w:w="2468"/>
      </w:tblGrid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lastRenderedPageBreak/>
              <w:t>1. Количество рассмотренных публичными партнерами предложений о реализации проектов государственно-частного партнерства, проектов муниципально-частного партнерства (далее - проекты) от частных партнеров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2. Количество направленных на оценку уполномоченному органу предложений о реализации проектов, разработанных частными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3. Количество направленных на оценку уполномоченному органу предложений о реализации проектов, разработанных публичными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4. Количество предложений о реализации проектов, по которым уполномоченным органом было дано положительное заключение об эффективности и наличии сравнительного преимущества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5. Количество принятых решений о реализации проектов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6. Количество объявленных конкурсов на право заключения о государственно-частном партнерстве, муниципально-частном партнерстве (далее соответственно - конкурсы, соглашения) с указанием доли закрытых конкурсов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7. Количество несостоявшихся конкурсов (с указанием причин)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8. Количество конкурсов с единственным участником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9. Количество конкурсов с двумя и более участниками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10. Количество заключенных соглашений (по отраслям)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11. Количество соглашений, по которым частный партнер на отчетную дату осуществляет проектирование объекта (объектов) соглашения (далее - объект)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lastRenderedPageBreak/>
              <w:t>12. Количество соглашений, по которым частный партнер на отчетную дату осуществляет создание объекта, в том числе подготовку участка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13. Количество соглашений, по которым частный партнер приступил к эксплуатации и (или) техническому обслуживанию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14. Количество завершенных соглашений на отчетную дату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15. Количество соглашений, по которым в ходе осуществления контроля были выявлены нарушения со стороны частных партнеров (с указанием выявленных нарушений)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8B7CB4" w:rsidRDefault="008B7CB4">
            <w:pPr>
              <w:pStyle w:val="ConsPlusNormal"/>
              <w:jc w:val="both"/>
            </w:pPr>
            <w:r>
              <w:t>16. Количество заключенных соглашений, инициаторами заключения которых выступали частные партнеры (с указанием доли от общего числа таких инициатив)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CB4" w:rsidRDefault="008B7CB4">
            <w:pPr>
              <w:pStyle w:val="ConsPlusNormal"/>
            </w:pPr>
          </w:p>
        </w:tc>
      </w:tr>
    </w:tbl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center"/>
        <w:outlineLvl w:val="2"/>
      </w:pPr>
      <w:r>
        <w:t>II. Сравнительный анализ соблюдения планируемых</w:t>
      </w:r>
    </w:p>
    <w:p w:rsidR="008B7CB4" w:rsidRDefault="008B7CB4">
      <w:pPr>
        <w:pStyle w:val="ConsPlusNormal"/>
        <w:jc w:val="center"/>
      </w:pPr>
      <w:r>
        <w:t>и фактических сроков исполнения сторонами обязательств</w:t>
      </w:r>
    </w:p>
    <w:p w:rsidR="008B7CB4" w:rsidRDefault="008B7CB4">
      <w:pPr>
        <w:pStyle w:val="ConsPlusNormal"/>
        <w:jc w:val="center"/>
      </w:pPr>
      <w:r>
        <w:t>по соглашению, а также планируемых (прогнозируемых)</w:t>
      </w:r>
    </w:p>
    <w:p w:rsidR="008B7CB4" w:rsidRDefault="008B7CB4">
      <w:pPr>
        <w:pStyle w:val="ConsPlusNormal"/>
        <w:jc w:val="center"/>
      </w:pPr>
      <w:r>
        <w:t>и фактически достигнутых значений критериев эффективности</w:t>
      </w:r>
    </w:p>
    <w:p w:rsidR="008B7CB4" w:rsidRDefault="008B7CB4">
      <w:pPr>
        <w:pStyle w:val="ConsPlusNormal"/>
        <w:jc w:val="center"/>
      </w:pPr>
      <w:r>
        <w:t>проекта и значений показателей его сравнительного</w:t>
      </w:r>
    </w:p>
    <w:p w:rsidR="008B7CB4" w:rsidRDefault="008B7CB4">
      <w:pPr>
        <w:pStyle w:val="ConsPlusNormal"/>
        <w:jc w:val="center"/>
      </w:pPr>
      <w:r>
        <w:t>преимущества, на основании которых получено положительное</w:t>
      </w:r>
    </w:p>
    <w:p w:rsidR="008B7CB4" w:rsidRDefault="008B7CB4">
      <w:pPr>
        <w:pStyle w:val="ConsPlusNormal"/>
        <w:jc w:val="center"/>
      </w:pPr>
      <w:r>
        <w:t>заключение уполномоченного органа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ind w:firstLine="540"/>
        <w:jc w:val="both"/>
      </w:pPr>
      <w:r>
        <w:t>Наименование проекта _________________</w:t>
      </w:r>
    </w:p>
    <w:p w:rsidR="008B7CB4" w:rsidRDefault="008B7CB4">
      <w:pPr>
        <w:pStyle w:val="ConsPlusNormal"/>
        <w:spacing w:before="220"/>
        <w:ind w:firstLine="540"/>
        <w:jc w:val="both"/>
      </w:pPr>
      <w:r>
        <w:t>Реквизиты заключенного соглашения от __________ N _____________</w:t>
      </w:r>
    </w:p>
    <w:p w:rsidR="008B7CB4" w:rsidRDefault="008B7CB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5935"/>
        <w:gridCol w:w="1666"/>
        <w:gridCol w:w="1516"/>
      </w:tblGrid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  <w:tc>
          <w:tcPr>
            <w:tcW w:w="1516" w:type="dxa"/>
          </w:tcPr>
          <w:p w:rsidR="008B7CB4" w:rsidRDefault="008B7CB4">
            <w:pPr>
              <w:pStyle w:val="ConsPlusNormal"/>
              <w:jc w:val="center"/>
            </w:pPr>
            <w:r>
              <w:t>Фактически достигнутое значение показателя</w:t>
            </w: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6" w:type="dxa"/>
          </w:tcPr>
          <w:p w:rsidR="008B7CB4" w:rsidRDefault="008B7CB4">
            <w:pPr>
              <w:pStyle w:val="ConsPlusNormal"/>
              <w:jc w:val="center"/>
            </w:pPr>
            <w:r>
              <w:t>4</w:t>
            </w: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 проведения конкурсной процедуры для отбора частного партнера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 заключения соглашения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Общий срок реализации соглашения (для завершенных соглашений)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 проектирования частным партнером объекта (если предусматривается)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 создания объекта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 возникновения права собственности на объект у частного партнера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Общая стоимость создания объекта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Объем финансирования создания объекта - по годам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Объем финансирования эксплуатации и (или) технического обслуживания объекта - по годам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 xml:space="preserve">Объем финансирования за счет средств бюджетов </w:t>
            </w:r>
            <w:r>
              <w:lastRenderedPageBreak/>
              <w:t>бюджетной системы Российской Федерации создания объекта (если предусматривается)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Объем финансирования за счет средств бюджетов бюджетной системы Российской Федерации эксплуатации и (или) технического обслуживания объекта (если предусматривается)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  <w:r>
              <w:t>-</w:t>
            </w: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Срок погашения заемного финансирования по проекту (если предусматривается);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Объем выручки частного партнера при реализации проекта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Налоговые доходи бюджетов бюджетной системы Российской Федерации при реализации проекта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Неналоговые доходы бюджетов бюджетной системы Российской Федерации при реализации проекта - по годам;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Чистая приведенная стоимость по проекту;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522" w:type="dxa"/>
          </w:tcPr>
          <w:p w:rsidR="008B7CB4" w:rsidRDefault="008B7CB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35" w:type="dxa"/>
          </w:tcPr>
          <w:p w:rsidR="008B7CB4" w:rsidRDefault="008B7CB4">
            <w:pPr>
              <w:pStyle w:val="ConsPlusNormal"/>
              <w:jc w:val="both"/>
            </w:pPr>
            <w:r>
              <w:t>Иные показатели, используемые для расчета и обоснования сравнительного преимущества проекта:</w:t>
            </w:r>
          </w:p>
          <w:p w:rsidR="008B7CB4" w:rsidRDefault="008B7CB4">
            <w:pPr>
              <w:pStyle w:val="ConsPlusNormal"/>
              <w:jc w:val="both"/>
            </w:pPr>
            <w:r>
              <w:lastRenderedPageBreak/>
              <w:t>______________________________________________</w:t>
            </w:r>
          </w:p>
        </w:tc>
        <w:tc>
          <w:tcPr>
            <w:tcW w:w="166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16" w:type="dxa"/>
          </w:tcPr>
          <w:p w:rsidR="008B7CB4" w:rsidRDefault="008B7CB4">
            <w:pPr>
              <w:pStyle w:val="ConsPlusNormal"/>
            </w:pPr>
          </w:p>
        </w:tc>
      </w:tr>
    </w:tbl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center"/>
        <w:outlineLvl w:val="2"/>
      </w:pPr>
      <w:r>
        <w:t>III. Сведения из реестра заключенных соглашений</w:t>
      </w:r>
    </w:p>
    <w:p w:rsidR="008B7CB4" w:rsidRDefault="008B7CB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4"/>
        <w:gridCol w:w="1290"/>
        <w:gridCol w:w="768"/>
        <w:gridCol w:w="714"/>
        <w:gridCol w:w="1106"/>
        <w:gridCol w:w="1329"/>
        <w:gridCol w:w="1540"/>
        <w:gridCol w:w="1348"/>
      </w:tblGrid>
      <w:tr w:rsidR="008B7CB4">
        <w:tc>
          <w:tcPr>
            <w:tcW w:w="1544" w:type="dxa"/>
          </w:tcPr>
          <w:p w:rsidR="008B7CB4" w:rsidRDefault="008B7CB4">
            <w:pPr>
              <w:pStyle w:val="ConsPlusNormal"/>
              <w:jc w:val="center"/>
            </w:pPr>
            <w:r>
              <w:t>Порядковый номер заключенного соглашения</w:t>
            </w:r>
          </w:p>
        </w:tc>
        <w:tc>
          <w:tcPr>
            <w:tcW w:w="1290" w:type="dxa"/>
          </w:tcPr>
          <w:p w:rsidR="008B7CB4" w:rsidRDefault="008B7CB4">
            <w:pPr>
              <w:pStyle w:val="ConsPlusNormal"/>
              <w:jc w:val="center"/>
            </w:pPr>
            <w:r>
              <w:t>Реквизиты заключенного соглашения</w:t>
            </w:r>
          </w:p>
        </w:tc>
        <w:tc>
          <w:tcPr>
            <w:tcW w:w="768" w:type="dxa"/>
          </w:tcPr>
          <w:p w:rsidR="008B7CB4" w:rsidRDefault="008B7CB4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714" w:type="dxa"/>
          </w:tcPr>
          <w:p w:rsidR="008B7CB4" w:rsidRDefault="008B7CB4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06" w:type="dxa"/>
          </w:tcPr>
          <w:p w:rsidR="008B7CB4" w:rsidRDefault="008B7CB4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329" w:type="dxa"/>
          </w:tcPr>
          <w:p w:rsidR="008B7CB4" w:rsidRDefault="008B7CB4">
            <w:pPr>
              <w:pStyle w:val="ConsPlusNormal"/>
              <w:jc w:val="center"/>
            </w:pPr>
            <w:r>
              <w:t>Сроки реализации соглашения</w:t>
            </w:r>
          </w:p>
        </w:tc>
        <w:tc>
          <w:tcPr>
            <w:tcW w:w="1540" w:type="dxa"/>
          </w:tcPr>
          <w:p w:rsidR="008B7CB4" w:rsidRDefault="008B7CB4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  <w:tc>
          <w:tcPr>
            <w:tcW w:w="1348" w:type="dxa"/>
          </w:tcPr>
          <w:p w:rsidR="008B7CB4" w:rsidRDefault="008B7CB4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</w:tr>
      <w:tr w:rsidR="008B7CB4">
        <w:tc>
          <w:tcPr>
            <w:tcW w:w="1544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290" w:type="dxa"/>
          </w:tcPr>
          <w:p w:rsidR="008B7CB4" w:rsidRDefault="008B7CB4">
            <w:pPr>
              <w:pStyle w:val="ConsPlusNormal"/>
            </w:pPr>
          </w:p>
        </w:tc>
        <w:tc>
          <w:tcPr>
            <w:tcW w:w="768" w:type="dxa"/>
          </w:tcPr>
          <w:p w:rsidR="008B7CB4" w:rsidRDefault="008B7CB4">
            <w:pPr>
              <w:pStyle w:val="ConsPlusNormal"/>
            </w:pPr>
          </w:p>
        </w:tc>
        <w:tc>
          <w:tcPr>
            <w:tcW w:w="714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10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329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40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348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1544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290" w:type="dxa"/>
          </w:tcPr>
          <w:p w:rsidR="008B7CB4" w:rsidRDefault="008B7CB4">
            <w:pPr>
              <w:pStyle w:val="ConsPlusNormal"/>
            </w:pPr>
          </w:p>
        </w:tc>
        <w:tc>
          <w:tcPr>
            <w:tcW w:w="768" w:type="dxa"/>
          </w:tcPr>
          <w:p w:rsidR="008B7CB4" w:rsidRDefault="008B7CB4">
            <w:pPr>
              <w:pStyle w:val="ConsPlusNormal"/>
            </w:pPr>
          </w:p>
        </w:tc>
        <w:tc>
          <w:tcPr>
            <w:tcW w:w="714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10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329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40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348" w:type="dxa"/>
          </w:tcPr>
          <w:p w:rsidR="008B7CB4" w:rsidRDefault="008B7CB4">
            <w:pPr>
              <w:pStyle w:val="ConsPlusNormal"/>
            </w:pPr>
          </w:p>
        </w:tc>
      </w:tr>
      <w:tr w:rsidR="008B7CB4">
        <w:tc>
          <w:tcPr>
            <w:tcW w:w="1544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290" w:type="dxa"/>
          </w:tcPr>
          <w:p w:rsidR="008B7CB4" w:rsidRDefault="008B7CB4">
            <w:pPr>
              <w:pStyle w:val="ConsPlusNormal"/>
            </w:pPr>
          </w:p>
        </w:tc>
        <w:tc>
          <w:tcPr>
            <w:tcW w:w="768" w:type="dxa"/>
          </w:tcPr>
          <w:p w:rsidR="008B7CB4" w:rsidRDefault="008B7CB4">
            <w:pPr>
              <w:pStyle w:val="ConsPlusNormal"/>
            </w:pPr>
          </w:p>
        </w:tc>
        <w:tc>
          <w:tcPr>
            <w:tcW w:w="714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106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329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540" w:type="dxa"/>
          </w:tcPr>
          <w:p w:rsidR="008B7CB4" w:rsidRDefault="008B7CB4">
            <w:pPr>
              <w:pStyle w:val="ConsPlusNormal"/>
            </w:pPr>
          </w:p>
        </w:tc>
        <w:tc>
          <w:tcPr>
            <w:tcW w:w="1348" w:type="dxa"/>
          </w:tcPr>
          <w:p w:rsidR="008B7CB4" w:rsidRDefault="008B7CB4">
            <w:pPr>
              <w:pStyle w:val="ConsPlusNormal"/>
            </w:pPr>
          </w:p>
        </w:tc>
      </w:tr>
    </w:tbl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center"/>
        <w:outlineLvl w:val="2"/>
      </w:pPr>
      <w:r>
        <w:t>IV. Оценка проблем и перспективы дальнейшей реализации</w:t>
      </w:r>
    </w:p>
    <w:p w:rsidR="008B7CB4" w:rsidRDefault="008B7CB4">
      <w:pPr>
        <w:pStyle w:val="ConsPlusNormal"/>
        <w:jc w:val="center"/>
      </w:pPr>
      <w:r>
        <w:t>заключенных соглашений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nformat"/>
        <w:jc w:val="both"/>
      </w:pPr>
      <w:r>
        <w:t>___________________________________________________________________________</w:t>
      </w:r>
    </w:p>
    <w:p w:rsidR="008B7CB4" w:rsidRDefault="008B7CB4">
      <w:pPr>
        <w:pStyle w:val="ConsPlusNonformat"/>
        <w:jc w:val="both"/>
      </w:pPr>
      <w:r>
        <w:t>___________________________________________________________________________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center"/>
        <w:outlineLvl w:val="2"/>
      </w:pPr>
      <w:r>
        <w:t>V. Сведения о разрабатываемых и планируемых к разработке</w:t>
      </w:r>
    </w:p>
    <w:p w:rsidR="008B7CB4" w:rsidRDefault="008B7CB4">
      <w:pPr>
        <w:pStyle w:val="ConsPlusNormal"/>
        <w:jc w:val="center"/>
      </w:pPr>
      <w:r>
        <w:t>предложениях о реализации проекта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nformat"/>
        <w:jc w:val="both"/>
      </w:pPr>
      <w:r>
        <w:t>___________________________________________________________________________</w:t>
      </w:r>
    </w:p>
    <w:p w:rsidR="008B7CB4" w:rsidRDefault="008B7CB4">
      <w:pPr>
        <w:pStyle w:val="ConsPlusNonformat"/>
        <w:jc w:val="both"/>
      </w:pPr>
      <w:r>
        <w:t>___________________________________________________________________________</w:t>
      </w: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jc w:val="both"/>
      </w:pPr>
    </w:p>
    <w:p w:rsidR="008B7CB4" w:rsidRDefault="008B7C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625" w:rsidRDefault="00566625">
      <w:bookmarkStart w:id="2" w:name="_GoBack"/>
      <w:bookmarkEnd w:id="2"/>
    </w:p>
    <w:sectPr w:rsidR="00566625" w:rsidSect="00424F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B4"/>
    <w:rsid w:val="00566625"/>
    <w:rsid w:val="008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3246-7A06-48C0-A21C-D04B0A47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F629CB77553D9DF0F93FF0C330461C69BA73369111AB38E0E173E2E1589297972613676E55CA4C1F85BA2Ai3d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629CB77553D9DF0F93FF0C330461C63B979389518F632E8B87FE0E657CD92903713676F4BCB4E038CEE7A7A4C6409F56DA95EE869C091iBdFH" TargetMode="External"/><Relationship Id="rId5" Type="http://schemas.openxmlformats.org/officeDocument/2006/relationships/hyperlink" Target="consultantplus://offline/ref=73F629CB77553D9DF0F93FF0C330461C63B979389518F632E8B87FE0E657CD92903713676F4BC843088CEE7A7A4C6409F56DA95EE869C091iBd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2019-07-11T07:29:00Z</dcterms:created>
  <dcterms:modified xsi:type="dcterms:W3CDTF">2019-07-11T07:30:00Z</dcterms:modified>
</cp:coreProperties>
</file>